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A" w:rsidRPr="00D77708" w:rsidRDefault="002B544A" w:rsidP="00D7770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Theme="minorEastAsia" w:hAnsi="Calibri" w:cs="Calibri"/>
          <w:b/>
          <w:bCs/>
          <w:sz w:val="32"/>
          <w:szCs w:val="32"/>
          <w:u w:val="single"/>
          <w:lang w:val="en-US" w:eastAsia="en-US"/>
        </w:rPr>
      </w:pPr>
      <w:r w:rsidRPr="00D77708">
        <w:rPr>
          <w:rFonts w:ascii="Calibri" w:eastAsiaTheme="minorEastAsia" w:hAnsi="Calibri" w:cs="Calibri"/>
          <w:b/>
          <w:bCs/>
          <w:sz w:val="32"/>
          <w:szCs w:val="32"/>
          <w:u w:val="single"/>
          <w:lang w:val="en-US" w:eastAsia="en-US"/>
        </w:rPr>
        <w:t xml:space="preserve">Pupil Premium </w:t>
      </w:r>
      <w:proofErr w:type="gramStart"/>
      <w:r w:rsidRPr="00D77708">
        <w:rPr>
          <w:rFonts w:ascii="Calibri" w:eastAsiaTheme="minorEastAsia" w:hAnsi="Calibri" w:cs="Calibri"/>
          <w:b/>
          <w:bCs/>
          <w:sz w:val="32"/>
          <w:szCs w:val="32"/>
          <w:u w:val="single"/>
          <w:lang w:val="en-US" w:eastAsia="en-US"/>
        </w:rPr>
        <w:t xml:space="preserve">Analysis </w:t>
      </w:r>
      <w:r w:rsidR="00C12E9F">
        <w:rPr>
          <w:rFonts w:ascii="Calibri" w:eastAsiaTheme="minorEastAsia" w:hAnsi="Calibri" w:cs="Calibri"/>
          <w:b/>
          <w:bCs/>
          <w:sz w:val="32"/>
          <w:szCs w:val="32"/>
          <w:u w:val="single"/>
          <w:lang w:val="en-US" w:eastAsia="en-US"/>
        </w:rPr>
        <w:t xml:space="preserve"> </w:t>
      </w:r>
      <w:r w:rsidRPr="00D77708">
        <w:rPr>
          <w:rFonts w:ascii="Calibri" w:eastAsiaTheme="minorEastAsia" w:hAnsi="Calibri" w:cs="Calibri"/>
          <w:b/>
          <w:bCs/>
          <w:sz w:val="32"/>
          <w:szCs w:val="32"/>
          <w:u w:val="single"/>
          <w:lang w:val="en-US" w:eastAsia="en-US"/>
        </w:rPr>
        <w:t>2014</w:t>
      </w:r>
      <w:proofErr w:type="gramEnd"/>
      <w:r w:rsidRPr="00D77708">
        <w:rPr>
          <w:rFonts w:ascii="Calibri" w:eastAsiaTheme="minorEastAsia" w:hAnsi="Calibri" w:cs="Calibri"/>
          <w:b/>
          <w:bCs/>
          <w:sz w:val="32"/>
          <w:szCs w:val="32"/>
          <w:u w:val="single"/>
          <w:lang w:val="en-US" w:eastAsia="en-US"/>
        </w:rPr>
        <w:t>-</w:t>
      </w:r>
      <w:r w:rsidR="00C12E9F">
        <w:rPr>
          <w:rFonts w:ascii="Calibri" w:eastAsiaTheme="minorEastAsia" w:hAnsi="Calibri" w:cs="Calibri"/>
          <w:b/>
          <w:bCs/>
          <w:sz w:val="32"/>
          <w:szCs w:val="32"/>
          <w:u w:val="single"/>
          <w:lang w:val="en-US" w:eastAsia="en-US"/>
        </w:rPr>
        <w:t xml:space="preserve"> </w:t>
      </w:r>
      <w:r w:rsidRPr="00D77708">
        <w:rPr>
          <w:rFonts w:ascii="Calibri" w:eastAsiaTheme="minorEastAsia" w:hAnsi="Calibri" w:cs="Calibri"/>
          <w:b/>
          <w:bCs/>
          <w:sz w:val="32"/>
          <w:szCs w:val="32"/>
          <w:u w:val="single"/>
          <w:lang w:val="en-US" w:eastAsia="en-US"/>
        </w:rPr>
        <w:t>2015</w:t>
      </w:r>
    </w:p>
    <w:p w:rsidR="00CA4D90" w:rsidRPr="00D77708" w:rsidRDefault="00CA4D90" w:rsidP="00CA4D90">
      <w:pPr>
        <w:rPr>
          <w:rFonts w:asciiTheme="majorHAnsi" w:hAnsiTheme="majorHAnsi"/>
          <w:sz w:val="30"/>
          <w:szCs w:val="30"/>
        </w:rPr>
      </w:pPr>
      <w:proofErr w:type="gramStart"/>
      <w:r w:rsidRPr="00D77708">
        <w:rPr>
          <w:rFonts w:asciiTheme="majorHAnsi" w:hAnsiTheme="majorHAnsi"/>
          <w:sz w:val="30"/>
          <w:szCs w:val="30"/>
        </w:rPr>
        <w:t>School :</w:t>
      </w:r>
      <w:proofErr w:type="spellStart"/>
      <w:r w:rsidRPr="00D77708">
        <w:rPr>
          <w:rFonts w:asciiTheme="majorHAnsi" w:hAnsiTheme="majorHAnsi"/>
          <w:sz w:val="30"/>
          <w:szCs w:val="30"/>
        </w:rPr>
        <w:t>Marlfields</w:t>
      </w:r>
      <w:proofErr w:type="spellEnd"/>
      <w:proofErr w:type="gramEnd"/>
      <w:r w:rsidRPr="00D77708">
        <w:rPr>
          <w:rFonts w:asciiTheme="majorHAnsi" w:hAnsiTheme="majorHAnsi"/>
          <w:sz w:val="30"/>
          <w:szCs w:val="30"/>
        </w:rPr>
        <w:t xml:space="preserve"> Primary Academy</w:t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Pr="00D77708">
        <w:rPr>
          <w:rFonts w:asciiTheme="majorHAnsi" w:hAnsiTheme="majorHAnsi"/>
          <w:sz w:val="30"/>
          <w:szCs w:val="30"/>
        </w:rPr>
        <w:t>Principal: Mrs S Isherwood</w:t>
      </w:r>
    </w:p>
    <w:p w:rsidR="00CA4D90" w:rsidRPr="00D77708" w:rsidRDefault="00CA4D90" w:rsidP="00CA4D90">
      <w:pPr>
        <w:rPr>
          <w:rFonts w:asciiTheme="majorHAnsi" w:hAnsiTheme="majorHAnsi"/>
          <w:sz w:val="30"/>
          <w:szCs w:val="30"/>
        </w:rPr>
      </w:pPr>
      <w:r w:rsidRPr="00D77708">
        <w:rPr>
          <w:rFonts w:asciiTheme="majorHAnsi" w:hAnsiTheme="majorHAnsi"/>
          <w:sz w:val="30"/>
          <w:szCs w:val="30"/>
        </w:rPr>
        <w:t>Vice Principal: Miss M Carr</w:t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Pr="00D77708">
        <w:rPr>
          <w:rFonts w:asciiTheme="majorHAnsi" w:hAnsiTheme="majorHAnsi"/>
          <w:sz w:val="30"/>
          <w:szCs w:val="30"/>
        </w:rPr>
        <w:t>Pupil Premium Champion: Mrs S Radcliffe</w:t>
      </w:r>
    </w:p>
    <w:p w:rsidR="00CA4D90" w:rsidRPr="00D77708" w:rsidRDefault="00CA4D90" w:rsidP="00D77708">
      <w:pPr>
        <w:rPr>
          <w:rFonts w:asciiTheme="majorHAnsi" w:hAnsiTheme="majorHAnsi"/>
          <w:sz w:val="30"/>
          <w:szCs w:val="30"/>
        </w:rPr>
      </w:pPr>
      <w:r w:rsidRPr="00D77708">
        <w:rPr>
          <w:rFonts w:asciiTheme="majorHAnsi" w:hAnsiTheme="majorHAnsi"/>
          <w:sz w:val="30"/>
          <w:szCs w:val="30"/>
        </w:rPr>
        <w:t xml:space="preserve">Pupil Premium Governor: Mrs M </w:t>
      </w:r>
      <w:proofErr w:type="spellStart"/>
      <w:r w:rsidRPr="00D77708">
        <w:rPr>
          <w:rFonts w:asciiTheme="majorHAnsi" w:hAnsiTheme="majorHAnsi"/>
          <w:sz w:val="30"/>
          <w:szCs w:val="30"/>
        </w:rPr>
        <w:t>Gartside</w:t>
      </w:r>
      <w:proofErr w:type="spellEnd"/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="00D77708">
        <w:rPr>
          <w:rFonts w:asciiTheme="majorHAnsi" w:hAnsiTheme="majorHAnsi"/>
          <w:sz w:val="30"/>
          <w:szCs w:val="30"/>
        </w:rPr>
        <w:tab/>
      </w:r>
      <w:r w:rsidRPr="00D77708">
        <w:rPr>
          <w:rFonts w:asciiTheme="majorHAnsi" w:hAnsiTheme="majorHAnsi"/>
          <w:sz w:val="30"/>
          <w:szCs w:val="30"/>
        </w:rPr>
        <w:t>Date: 16</w:t>
      </w:r>
      <w:r w:rsidRPr="00D77708">
        <w:rPr>
          <w:rFonts w:asciiTheme="majorHAnsi" w:hAnsiTheme="majorHAnsi"/>
          <w:sz w:val="30"/>
          <w:szCs w:val="30"/>
          <w:vertAlign w:val="superscript"/>
        </w:rPr>
        <w:t>th</w:t>
      </w:r>
      <w:r w:rsidRPr="00D77708">
        <w:rPr>
          <w:rFonts w:asciiTheme="majorHAnsi" w:hAnsiTheme="majorHAnsi"/>
          <w:sz w:val="30"/>
          <w:szCs w:val="30"/>
        </w:rPr>
        <w:t xml:space="preserve"> July 2015</w:t>
      </w:r>
    </w:p>
    <w:p w:rsidR="002B544A" w:rsidRDefault="002B544A" w:rsidP="00AF271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00"/>
        <w:gridCol w:w="4414"/>
        <w:gridCol w:w="2606"/>
        <w:gridCol w:w="70"/>
      </w:tblGrid>
      <w:tr w:rsidR="00EF4E0C" w:rsidTr="009514BC">
        <w:trPr>
          <w:gridAfter w:val="1"/>
          <w:wAfter w:w="70" w:type="dxa"/>
        </w:trPr>
        <w:tc>
          <w:tcPr>
            <w:tcW w:w="5900" w:type="dxa"/>
            <w:tcBorders>
              <w:top w:val="single" w:sz="8" w:space="0" w:color="6C4E91"/>
              <w:left w:val="single" w:sz="8" w:space="0" w:color="6C4D90"/>
              <w:bottom w:val="single" w:sz="24" w:space="0" w:color="715395"/>
              <w:right w:val="single" w:sz="8" w:space="0" w:color="6C4D9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544A" w:rsidRPr="009514BC" w:rsidRDefault="009514B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"/>
                <w:b/>
                <w:sz w:val="30"/>
                <w:szCs w:val="30"/>
                <w:lang w:val="en-US" w:eastAsia="en-US"/>
              </w:rPr>
            </w:pPr>
            <w:r w:rsidRPr="009514BC">
              <w:rPr>
                <w:rFonts w:asciiTheme="majorHAnsi" w:eastAsiaTheme="minorEastAsia" w:hAnsiTheme="majorHAnsi" w:cs="Times"/>
                <w:b/>
                <w:sz w:val="30"/>
                <w:szCs w:val="30"/>
                <w:lang w:val="en-US" w:eastAsia="en-US"/>
              </w:rPr>
              <w:t>2014-2015</w:t>
            </w:r>
          </w:p>
        </w:tc>
        <w:tc>
          <w:tcPr>
            <w:tcW w:w="4414" w:type="dxa"/>
            <w:tcBorders>
              <w:top w:val="single" w:sz="8" w:space="0" w:color="6C4D91"/>
              <w:left w:val="single" w:sz="8" w:space="0" w:color="6C4D90"/>
              <w:bottom w:val="single" w:sz="24" w:space="0" w:color="6F5293"/>
              <w:right w:val="single" w:sz="8" w:space="0" w:color="6C4D9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544A" w:rsidRDefault="00951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sz w:val="30"/>
                <w:szCs w:val="30"/>
                <w:lang w:val="en-US" w:eastAsia="en-US"/>
              </w:rPr>
              <w:t>School</w:t>
            </w:r>
          </w:p>
        </w:tc>
        <w:tc>
          <w:tcPr>
            <w:tcW w:w="2606" w:type="dxa"/>
            <w:tcBorders>
              <w:top w:val="single" w:sz="8" w:space="0" w:color="6C4D91"/>
              <w:left w:val="single" w:sz="8" w:space="0" w:color="6C4D91"/>
              <w:bottom w:val="single" w:sz="24" w:space="0" w:color="6F5293"/>
              <w:right w:val="single" w:sz="8" w:space="0" w:color="6C4D9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544A" w:rsidRPr="009514BC" w:rsidRDefault="009514B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"/>
                <w:b/>
                <w:sz w:val="30"/>
                <w:szCs w:val="30"/>
                <w:lang w:val="en-US" w:eastAsia="en-US"/>
              </w:rPr>
            </w:pPr>
            <w:r w:rsidRPr="009514BC">
              <w:rPr>
                <w:rFonts w:asciiTheme="majorHAnsi" w:eastAsiaTheme="minorEastAsia" w:hAnsiTheme="majorHAnsi" w:cs="Times"/>
                <w:b/>
                <w:noProof/>
                <w:sz w:val="30"/>
                <w:szCs w:val="30"/>
                <w:lang w:val="en-US" w:eastAsia="en-US"/>
              </w:rPr>
              <w:t>National</w:t>
            </w:r>
          </w:p>
        </w:tc>
      </w:tr>
      <w:tr w:rsidR="00EF4E0C" w:rsidTr="009514BC">
        <w:tblPrEx>
          <w:tblBorders>
            <w:top w:val="none" w:sz="0" w:space="0" w:color="auto"/>
          </w:tblBorders>
        </w:tblPrEx>
        <w:trPr>
          <w:gridAfter w:val="1"/>
          <w:wAfter w:w="70" w:type="dxa"/>
        </w:trPr>
        <w:tc>
          <w:tcPr>
            <w:tcW w:w="5900" w:type="dxa"/>
            <w:tcBorders>
              <w:top w:val="single" w:sz="24" w:space="0" w:color="715395"/>
              <w:left w:val="single" w:sz="8" w:space="0" w:color="6C4E91"/>
              <w:bottom w:val="single" w:sz="8" w:space="0" w:color="6C4E91"/>
              <w:right w:val="single" w:sz="8" w:space="0" w:color="6B4D90"/>
            </w:tcBorders>
            <w:shd w:val="clear" w:color="auto" w:fill="D8CE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544A" w:rsidRDefault="002B54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sz w:val="30"/>
                <w:szCs w:val="30"/>
                <w:lang w:val="en-US" w:eastAsia="en-US"/>
              </w:rPr>
              <w:t>Percentage of FSM pupils</w:t>
            </w:r>
          </w:p>
        </w:tc>
        <w:tc>
          <w:tcPr>
            <w:tcW w:w="4414" w:type="dxa"/>
            <w:tcBorders>
              <w:top w:val="single" w:sz="24" w:space="0" w:color="6F5293"/>
              <w:left w:val="single" w:sz="8" w:space="0" w:color="6B4D90"/>
              <w:bottom w:val="single" w:sz="8" w:space="0" w:color="6B4C90"/>
              <w:right w:val="single" w:sz="8" w:space="0" w:color="6B4D90"/>
            </w:tcBorders>
            <w:shd w:val="clear" w:color="auto" w:fill="D8CE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514BC" w:rsidRPr="009514BC" w:rsidRDefault="009514BC" w:rsidP="00951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eastAsiaTheme="minorEastAsia" w:hAnsiTheme="majorHAnsi" w:cs="Times"/>
                <w:sz w:val="30"/>
                <w:szCs w:val="30"/>
                <w:lang w:val="en-US" w:eastAsia="en-US"/>
              </w:rPr>
            </w:pPr>
            <w:r w:rsidRPr="009514BC">
              <w:rPr>
                <w:rFonts w:asciiTheme="majorHAnsi" w:eastAsiaTheme="minorEastAsia" w:hAnsiTheme="majorHAnsi" w:cs="Times"/>
                <w:b/>
                <w:sz w:val="30"/>
                <w:szCs w:val="30"/>
                <w:lang w:val="en-US" w:eastAsia="en-US"/>
              </w:rPr>
              <w:t>58.6</w:t>
            </w:r>
            <w:r>
              <w:rPr>
                <w:rFonts w:asciiTheme="majorHAnsi" w:eastAsiaTheme="minorEastAsia" w:hAnsiTheme="majorHAnsi" w:cs="Times"/>
                <w:sz w:val="30"/>
                <w:szCs w:val="30"/>
                <w:lang w:val="en-US" w:eastAsia="en-US"/>
              </w:rPr>
              <w:t xml:space="preserve"> </w:t>
            </w:r>
          </w:p>
          <w:p w:rsidR="009514BC" w:rsidRDefault="00951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 w:eastAsia="en-US"/>
              </w:rPr>
            </w:pPr>
            <w:r w:rsidRPr="009514BC">
              <w:rPr>
                <w:rFonts w:asciiTheme="majorHAnsi" w:eastAsiaTheme="minorEastAsia" w:hAnsiTheme="majorHAnsi" w:cs="Times"/>
                <w:sz w:val="30"/>
                <w:szCs w:val="30"/>
                <w:lang w:val="en-US" w:eastAsia="en-US"/>
              </w:rPr>
              <w:t>(80% percentile)</w:t>
            </w:r>
          </w:p>
        </w:tc>
        <w:tc>
          <w:tcPr>
            <w:tcW w:w="2606" w:type="dxa"/>
            <w:tcBorders>
              <w:top w:val="single" w:sz="24" w:space="0" w:color="6F5293"/>
              <w:left w:val="single" w:sz="8" w:space="0" w:color="6B4D90"/>
              <w:bottom w:val="single" w:sz="8" w:space="0" w:color="6C4C90"/>
              <w:right w:val="single" w:sz="8" w:space="0" w:color="6B4C8F"/>
            </w:tcBorders>
            <w:shd w:val="clear" w:color="auto" w:fill="D8CE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B544A" w:rsidRPr="009514BC" w:rsidRDefault="009514BC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"/>
                <w:b/>
                <w:sz w:val="30"/>
                <w:szCs w:val="30"/>
                <w:lang w:val="en-US" w:eastAsia="en-US"/>
              </w:rPr>
            </w:pPr>
            <w:r w:rsidRPr="009514BC">
              <w:rPr>
                <w:rFonts w:asciiTheme="majorHAnsi" w:eastAsiaTheme="minorEastAsia" w:hAnsiTheme="majorHAnsi" w:cs="Times"/>
                <w:b/>
                <w:sz w:val="30"/>
                <w:szCs w:val="30"/>
                <w:lang w:val="en-US" w:eastAsia="en-US"/>
              </w:rPr>
              <w:t>26.0</w:t>
            </w:r>
          </w:p>
        </w:tc>
      </w:tr>
      <w:tr w:rsidR="00C12E9F" w:rsidTr="00772E29">
        <w:tc>
          <w:tcPr>
            <w:tcW w:w="5900" w:type="dxa"/>
            <w:tcBorders>
              <w:top w:val="single" w:sz="8" w:space="0" w:color="6C4E91"/>
              <w:left w:val="single" w:sz="8" w:space="0" w:color="6C4D91"/>
              <w:bottom w:val="single" w:sz="8" w:space="0" w:color="6C4E91"/>
              <w:right w:val="single" w:sz="8" w:space="0" w:color="6B4D9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12E9F" w:rsidRDefault="00C12E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 w:eastAsia="en-US"/>
              </w:rPr>
            </w:pPr>
            <w:r>
              <w:rPr>
                <w:rFonts w:ascii="Calibri" w:eastAsiaTheme="minorEastAsia" w:hAnsi="Calibri" w:cs="Calibri"/>
                <w:b/>
                <w:bCs/>
                <w:sz w:val="26"/>
                <w:szCs w:val="26"/>
                <w:lang w:val="en-US" w:eastAsia="en-US"/>
              </w:rPr>
              <w:t>Number of FSM pupils eligible for the Pupil Premium</w:t>
            </w:r>
          </w:p>
        </w:tc>
        <w:tc>
          <w:tcPr>
            <w:tcW w:w="7090" w:type="dxa"/>
            <w:gridSpan w:val="3"/>
            <w:tcBorders>
              <w:top w:val="single" w:sz="8" w:space="0" w:color="6C4D91"/>
              <w:left w:val="single" w:sz="8" w:space="0" w:color="6B4D90"/>
              <w:bottom w:val="single" w:sz="8" w:space="0" w:color="6C4D91"/>
              <w:right w:val="single" w:sz="8" w:space="0" w:color="6A4C9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12E9F" w:rsidRPr="00C12E9F" w:rsidRDefault="00C12E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b/>
                <w:lang w:val="en-US" w:eastAsia="en-US"/>
              </w:rPr>
            </w:pPr>
            <w:r w:rsidRPr="00C12E9F">
              <w:rPr>
                <w:rFonts w:ascii="Calibri" w:eastAsiaTheme="minorEastAsia" w:hAnsi="Calibri" w:cs="Calibri"/>
                <w:b/>
                <w:sz w:val="26"/>
                <w:szCs w:val="26"/>
                <w:lang w:val="en-US" w:eastAsia="en-US"/>
              </w:rPr>
              <w:t xml:space="preserve">79              </w:t>
            </w:r>
            <w:r>
              <w:rPr>
                <w:rFonts w:ascii="Calibri" w:eastAsiaTheme="minorEastAsia" w:hAnsi="Calibri" w:cs="Calibri"/>
                <w:b/>
                <w:sz w:val="26"/>
                <w:szCs w:val="26"/>
                <w:lang w:val="en-US" w:eastAsia="en-US"/>
              </w:rPr>
              <w:t xml:space="preserve">                            </w:t>
            </w:r>
            <w:bookmarkStart w:id="0" w:name="_GoBack"/>
            <w:bookmarkEnd w:id="0"/>
            <w:r w:rsidRPr="00C12E9F">
              <w:rPr>
                <w:rFonts w:ascii="Calibri" w:eastAsiaTheme="minorEastAsia" w:hAnsi="Calibri" w:cs="Calibri"/>
                <w:b/>
                <w:sz w:val="26"/>
                <w:szCs w:val="26"/>
                <w:lang w:val="en-US" w:eastAsia="en-US"/>
              </w:rPr>
              <w:t>Total Spend:         £64,500</w:t>
            </w:r>
          </w:p>
        </w:tc>
      </w:tr>
    </w:tbl>
    <w:p w:rsidR="009514BC" w:rsidRDefault="009514BC" w:rsidP="00D77708">
      <w:pPr>
        <w:rPr>
          <w:rFonts w:ascii="Comic Sans MS" w:hAnsi="Comic Sans MS"/>
          <w:b/>
          <w:sz w:val="32"/>
          <w:szCs w:val="32"/>
          <w:u w:val="single"/>
        </w:rPr>
      </w:pPr>
    </w:p>
    <w:p w:rsidR="00EF4E0C" w:rsidRDefault="00EF4E0C" w:rsidP="00EF4E0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lang w:val="en-US" w:eastAsia="en-US"/>
        </w:rPr>
      </w:pPr>
      <w:r>
        <w:rPr>
          <w:rFonts w:ascii="Calibri" w:eastAsiaTheme="minorEastAsia" w:hAnsi="Calibri" w:cs="Calibri"/>
          <w:b/>
          <w:bCs/>
          <w:sz w:val="32"/>
          <w:szCs w:val="32"/>
          <w:lang w:val="en-US" w:eastAsia="en-US"/>
        </w:rPr>
        <w:t>Priorities: ’Better Never Stops’ – Mastery Learning</w:t>
      </w:r>
    </w:p>
    <w:p w:rsidR="00EF4E0C" w:rsidRDefault="00EF4E0C" w:rsidP="00EF4E0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>Priorities are driven by</w:t>
      </w:r>
      <w:proofErr w:type="gramStart"/>
      <w:r>
        <w:rPr>
          <w:rFonts w:ascii="Calibri" w:eastAsiaTheme="minorEastAsia" w:hAnsi="Calibri" w:cs="Calibri"/>
          <w:sz w:val="30"/>
          <w:szCs w:val="30"/>
          <w:lang w:val="en-US" w:eastAsia="en-US"/>
        </w:rPr>
        <w:t>: </w:t>
      </w:r>
      <w:proofErr w:type="gramEnd"/>
      <w:r>
        <w:rPr>
          <w:rFonts w:ascii="Calibri" w:eastAsiaTheme="minorEastAsia" w:hAnsi="Calibri" w:cs="Calibri"/>
          <w:sz w:val="30"/>
          <w:szCs w:val="30"/>
          <w:lang w:val="en-US" w:eastAsia="en-US"/>
        </w:rPr>
        <w:t>Observation of the children and their needs</w:t>
      </w:r>
    </w:p>
    <w:p w:rsidR="00EF4E0C" w:rsidRDefault="00EF4E0C" w:rsidP="00EF4E0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>Data analysis at school and national level Review of the last plan and best value Research e.g. Hattie, Sutton Trust, Education Endowment Foundation and ‘Transforming Writing’ (National Literacy Trust)</w:t>
      </w:r>
    </w:p>
    <w:p w:rsidR="00EF4E0C" w:rsidRDefault="00EF4E0C" w:rsidP="00EF4E0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>As a consequence, the priority areas are:</w:t>
      </w:r>
    </w:p>
    <w:p w:rsidR="00EF4E0C" w:rsidRDefault="00EF4E0C" w:rsidP="00EF4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eastAsiaTheme="minorEastAsia" w:hAnsi="Calibri" w:cs="Calibri"/>
          <w:sz w:val="30"/>
          <w:szCs w:val="30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 xml:space="preserve">Early spoken language and the development of knowledge </w:t>
      </w:r>
    </w:p>
    <w:p w:rsidR="00EF4E0C" w:rsidRDefault="00EF4E0C" w:rsidP="00EF4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eastAsiaTheme="minorEastAsia" w:hAnsi="Calibri" w:cs="Calibri"/>
          <w:sz w:val="30"/>
          <w:szCs w:val="30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 xml:space="preserve">Early mathematical concepts and vocabulary development </w:t>
      </w:r>
    </w:p>
    <w:p w:rsidR="00EF4E0C" w:rsidRDefault="00EF4E0C" w:rsidP="00EF4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eastAsiaTheme="minorEastAsia" w:hAnsi="Calibri" w:cs="Calibri"/>
          <w:sz w:val="30"/>
          <w:szCs w:val="30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 xml:space="preserve">The development of a range of grammatical structures and an expanded vocabulary </w:t>
      </w:r>
    </w:p>
    <w:p w:rsidR="00EF4E0C" w:rsidRDefault="00EF4E0C" w:rsidP="00EF4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eastAsiaTheme="minorEastAsia" w:hAnsi="Calibri" w:cs="Calibri"/>
          <w:sz w:val="30"/>
          <w:szCs w:val="30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 xml:space="preserve">‘Talk for Writing’ including the </w:t>
      </w:r>
      <w:proofErr w:type="spellStart"/>
      <w:r>
        <w:rPr>
          <w:rFonts w:ascii="Calibri" w:eastAsiaTheme="minorEastAsia" w:hAnsi="Calibri" w:cs="Calibri"/>
          <w:sz w:val="30"/>
          <w:szCs w:val="30"/>
          <w:lang w:val="en-US" w:eastAsia="en-US"/>
        </w:rPr>
        <w:t>internalisation</w:t>
      </w:r>
      <w:proofErr w:type="spellEnd"/>
      <w:r>
        <w:rPr>
          <w:rFonts w:ascii="Calibri" w:eastAsiaTheme="minorEastAsia" w:hAnsi="Calibri" w:cs="Calibri"/>
          <w:sz w:val="30"/>
          <w:szCs w:val="30"/>
          <w:lang w:val="en-US" w:eastAsia="en-US"/>
        </w:rPr>
        <w:t xml:space="preserve"> of texts, context- embedded grammar and drama </w:t>
      </w:r>
    </w:p>
    <w:p w:rsidR="00EF4E0C" w:rsidRDefault="00EF4E0C" w:rsidP="00EF4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eastAsiaTheme="minorEastAsia" w:hAnsi="Calibri" w:cs="Calibri"/>
          <w:sz w:val="30"/>
          <w:szCs w:val="30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lastRenderedPageBreak/>
        <w:t xml:space="preserve">A meta- cognitive whole school approach to spelling </w:t>
      </w:r>
    </w:p>
    <w:p w:rsidR="00EF4E0C" w:rsidRDefault="00EF4E0C" w:rsidP="00EF4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eastAsiaTheme="minorEastAsia" w:hAnsi="Calibri" w:cs="Calibri"/>
          <w:sz w:val="30"/>
          <w:szCs w:val="30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 xml:space="preserve">Mastery of Mathematics – fluency, reasoning and problem solving </w:t>
      </w:r>
    </w:p>
    <w:p w:rsidR="00EF4E0C" w:rsidRDefault="00EF4E0C" w:rsidP="00EF4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eastAsiaTheme="minorEastAsia" w:hAnsi="Calibri" w:cs="Calibri"/>
          <w:sz w:val="30"/>
          <w:szCs w:val="30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 xml:space="preserve">Reading – decoding and comprehension </w:t>
      </w:r>
    </w:p>
    <w:p w:rsidR="00EF4E0C" w:rsidRDefault="00EF4E0C" w:rsidP="00EF4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eastAsiaTheme="minorEastAsia" w:hAnsi="Calibri" w:cs="Calibri"/>
          <w:sz w:val="30"/>
          <w:szCs w:val="30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 xml:space="preserve">Quality feedback and direct instruction (Hattie) </w:t>
      </w:r>
    </w:p>
    <w:p w:rsidR="002B544A" w:rsidRDefault="00EF4E0C" w:rsidP="00EF4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eastAsiaTheme="minorEastAsia" w:hAnsi="Calibri" w:cs="Calibri"/>
          <w:sz w:val="30"/>
          <w:szCs w:val="30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 xml:space="preserve">Support for children’s social, moral, spiritual and cultural development including </w:t>
      </w:r>
      <w:proofErr w:type="spellStart"/>
      <w:r>
        <w:rPr>
          <w:rFonts w:ascii="Calibri" w:eastAsiaTheme="minorEastAsia" w:hAnsi="Calibri" w:cs="Calibri"/>
          <w:sz w:val="30"/>
          <w:szCs w:val="30"/>
          <w:lang w:val="en-US" w:eastAsia="en-US"/>
        </w:rPr>
        <w:t>behaviours</w:t>
      </w:r>
      <w:proofErr w:type="spellEnd"/>
      <w:r>
        <w:rPr>
          <w:rFonts w:ascii="Calibri" w:eastAsiaTheme="minorEastAsia" w:hAnsi="Calibri" w:cs="Calibri"/>
          <w:sz w:val="30"/>
          <w:szCs w:val="30"/>
          <w:lang w:val="en-US" w:eastAsia="en-US"/>
        </w:rPr>
        <w:t xml:space="preserve"> for learning.</w:t>
      </w:r>
    </w:p>
    <w:p w:rsidR="002B544A" w:rsidRPr="00D77708" w:rsidRDefault="00D77708" w:rsidP="00EF4E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alibri" w:eastAsiaTheme="minorEastAsia" w:hAnsi="Calibri" w:cs="Calibri"/>
          <w:sz w:val="30"/>
          <w:szCs w:val="30"/>
          <w:lang w:val="en-US" w:eastAsia="en-US"/>
        </w:rPr>
      </w:pPr>
      <w:r>
        <w:rPr>
          <w:rFonts w:ascii="Calibri" w:eastAsiaTheme="minorEastAsia" w:hAnsi="Calibri" w:cs="Calibri"/>
          <w:sz w:val="30"/>
          <w:szCs w:val="30"/>
          <w:lang w:val="en-US" w:eastAsia="en-US"/>
        </w:rPr>
        <w:t>Support for children’s attendance.</w:t>
      </w:r>
    </w:p>
    <w:p w:rsidR="00AF2712" w:rsidRDefault="00AF2712" w:rsidP="00AF271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4522D">
        <w:rPr>
          <w:rFonts w:ascii="Comic Sans MS" w:hAnsi="Comic Sans MS"/>
          <w:b/>
          <w:sz w:val="32"/>
          <w:szCs w:val="32"/>
          <w:u w:val="single"/>
        </w:rPr>
        <w:t>Impact on standards compared to National Statistics</w:t>
      </w:r>
    </w:p>
    <w:p w:rsidR="00E5417C" w:rsidRDefault="00E5417C" w:rsidP="00AF271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E5417C" w:rsidRPr="00E5417C" w:rsidRDefault="00E5417C" w:rsidP="00E5417C">
      <w:pPr>
        <w:rPr>
          <w:rFonts w:asciiTheme="majorHAnsi" w:hAnsiTheme="majorHAnsi"/>
          <w:sz w:val="30"/>
          <w:szCs w:val="30"/>
        </w:rPr>
      </w:pPr>
      <w:r w:rsidRPr="00E5417C">
        <w:rPr>
          <w:rFonts w:asciiTheme="majorHAnsi" w:hAnsiTheme="majorHAnsi"/>
          <w:sz w:val="30"/>
          <w:szCs w:val="30"/>
        </w:rPr>
        <w:t>Pupil Premium Percentages- Whole school: 79 of 186 = 42%</w:t>
      </w:r>
    </w:p>
    <w:p w:rsidR="00E5417C" w:rsidRPr="00E5417C" w:rsidRDefault="00E5417C" w:rsidP="00E5417C">
      <w:pPr>
        <w:rPr>
          <w:rFonts w:asciiTheme="majorHAnsi" w:hAnsiTheme="majorHAnsi"/>
          <w:sz w:val="30"/>
          <w:szCs w:val="30"/>
        </w:rPr>
      </w:pPr>
      <w:r w:rsidRPr="00E5417C">
        <w:rPr>
          <w:rFonts w:asciiTheme="majorHAnsi" w:hAnsiTheme="majorHAnsi"/>
          <w:sz w:val="30"/>
          <w:szCs w:val="30"/>
        </w:rPr>
        <w:t xml:space="preserve">Percentages of ‘Good Level’ of development </w:t>
      </w:r>
      <w:proofErr w:type="gramStart"/>
      <w:r w:rsidRPr="00E5417C">
        <w:rPr>
          <w:rFonts w:asciiTheme="majorHAnsi" w:hAnsiTheme="majorHAnsi"/>
          <w:sz w:val="30"/>
          <w:szCs w:val="30"/>
        </w:rPr>
        <w:t xml:space="preserve">EYFS </w:t>
      </w:r>
      <w:r w:rsidR="00D77708">
        <w:rPr>
          <w:rFonts w:asciiTheme="majorHAnsi" w:hAnsiTheme="majorHAnsi"/>
          <w:sz w:val="30"/>
          <w:szCs w:val="30"/>
        </w:rPr>
        <w:t xml:space="preserve"> 2015</w:t>
      </w:r>
      <w:proofErr w:type="gramEnd"/>
      <w:r w:rsidR="00D77708">
        <w:rPr>
          <w:rFonts w:asciiTheme="majorHAnsi" w:hAnsiTheme="majorHAnsi"/>
          <w:sz w:val="30"/>
          <w:szCs w:val="30"/>
        </w:rPr>
        <w:t xml:space="preserve"> </w:t>
      </w:r>
      <w:r w:rsidRPr="00E5417C">
        <w:rPr>
          <w:rFonts w:asciiTheme="majorHAnsi" w:hAnsiTheme="majorHAnsi"/>
          <w:sz w:val="30"/>
          <w:szCs w:val="30"/>
        </w:rPr>
        <w:t>(pupil Premium):</w:t>
      </w:r>
      <w:r>
        <w:rPr>
          <w:rFonts w:asciiTheme="majorHAnsi" w:hAnsiTheme="majorHAnsi"/>
          <w:sz w:val="30"/>
          <w:szCs w:val="30"/>
        </w:rPr>
        <w:t xml:space="preserve"> 74%</w:t>
      </w:r>
    </w:p>
    <w:p w:rsidR="00E5417C" w:rsidRPr="00E5417C" w:rsidRDefault="00E5417C" w:rsidP="00E5417C">
      <w:pPr>
        <w:rPr>
          <w:rFonts w:asciiTheme="majorHAnsi" w:hAnsiTheme="majorHAnsi"/>
          <w:sz w:val="30"/>
          <w:szCs w:val="30"/>
        </w:rPr>
      </w:pPr>
      <w:r w:rsidRPr="00E5417C">
        <w:rPr>
          <w:rFonts w:asciiTheme="majorHAnsi" w:hAnsiTheme="majorHAnsi"/>
          <w:sz w:val="30"/>
          <w:szCs w:val="30"/>
        </w:rPr>
        <w:t>Percentage of Children achieving level 2B</w:t>
      </w:r>
      <w:proofErr w:type="gramStart"/>
      <w:r w:rsidRPr="00E5417C">
        <w:rPr>
          <w:rFonts w:asciiTheme="majorHAnsi" w:hAnsiTheme="majorHAnsi"/>
          <w:sz w:val="30"/>
          <w:szCs w:val="30"/>
        </w:rPr>
        <w:t xml:space="preserve">+ </w:t>
      </w:r>
      <w:r w:rsidR="00D77708">
        <w:rPr>
          <w:rFonts w:asciiTheme="majorHAnsi" w:hAnsiTheme="majorHAnsi"/>
          <w:sz w:val="30"/>
          <w:szCs w:val="30"/>
        </w:rPr>
        <w:t xml:space="preserve"> 2015</w:t>
      </w:r>
      <w:proofErr w:type="gramEnd"/>
      <w:r w:rsidRPr="00E5417C">
        <w:rPr>
          <w:rFonts w:asciiTheme="majorHAnsi" w:hAnsiTheme="majorHAnsi"/>
          <w:sz w:val="30"/>
          <w:szCs w:val="30"/>
        </w:rPr>
        <w:t>(pupil premium): 92% R</w:t>
      </w:r>
      <w:r>
        <w:rPr>
          <w:rFonts w:asciiTheme="majorHAnsi" w:hAnsiTheme="majorHAnsi"/>
          <w:sz w:val="30"/>
          <w:szCs w:val="30"/>
        </w:rPr>
        <w:t>eading</w:t>
      </w:r>
      <w:r w:rsidRPr="00E5417C">
        <w:rPr>
          <w:rFonts w:asciiTheme="majorHAnsi" w:hAnsiTheme="majorHAnsi"/>
          <w:sz w:val="30"/>
          <w:szCs w:val="30"/>
        </w:rPr>
        <w:t xml:space="preserve">  42% W</w:t>
      </w:r>
      <w:r>
        <w:rPr>
          <w:rFonts w:asciiTheme="majorHAnsi" w:hAnsiTheme="majorHAnsi"/>
          <w:sz w:val="30"/>
          <w:szCs w:val="30"/>
        </w:rPr>
        <w:t>riting</w:t>
      </w:r>
      <w:r w:rsidRPr="00E5417C">
        <w:rPr>
          <w:rFonts w:asciiTheme="majorHAnsi" w:hAnsiTheme="majorHAnsi"/>
          <w:sz w:val="30"/>
          <w:szCs w:val="30"/>
        </w:rPr>
        <w:t xml:space="preserve"> 67% M</w:t>
      </w:r>
      <w:r>
        <w:rPr>
          <w:rFonts w:asciiTheme="majorHAnsi" w:hAnsiTheme="majorHAnsi"/>
          <w:sz w:val="30"/>
          <w:szCs w:val="30"/>
        </w:rPr>
        <w:t>aths</w:t>
      </w:r>
    </w:p>
    <w:p w:rsidR="00E5417C" w:rsidRPr="00E5417C" w:rsidRDefault="00E5417C" w:rsidP="00E5417C">
      <w:pPr>
        <w:rPr>
          <w:rFonts w:asciiTheme="majorHAnsi" w:hAnsiTheme="majorHAnsi"/>
          <w:sz w:val="30"/>
          <w:szCs w:val="30"/>
        </w:rPr>
      </w:pPr>
      <w:r w:rsidRPr="00E5417C">
        <w:rPr>
          <w:rFonts w:asciiTheme="majorHAnsi" w:hAnsiTheme="majorHAnsi"/>
          <w:sz w:val="30"/>
          <w:szCs w:val="30"/>
        </w:rPr>
        <w:t>Percentage of Children achieving level 4B+</w:t>
      </w:r>
      <w:r w:rsidR="00D77708">
        <w:rPr>
          <w:rFonts w:asciiTheme="majorHAnsi" w:hAnsiTheme="majorHAnsi"/>
          <w:sz w:val="30"/>
          <w:szCs w:val="30"/>
        </w:rPr>
        <w:t xml:space="preserve"> 2015</w:t>
      </w:r>
      <w:r w:rsidRPr="00E5417C">
        <w:rPr>
          <w:rFonts w:asciiTheme="majorHAnsi" w:hAnsiTheme="majorHAnsi"/>
          <w:sz w:val="30"/>
          <w:szCs w:val="30"/>
        </w:rPr>
        <w:t xml:space="preserve"> (pupil premium): 69% </w:t>
      </w:r>
      <w:proofErr w:type="gramStart"/>
      <w:r w:rsidRPr="00E5417C">
        <w:rPr>
          <w:rFonts w:asciiTheme="majorHAnsi" w:hAnsiTheme="majorHAnsi"/>
          <w:sz w:val="30"/>
          <w:szCs w:val="30"/>
        </w:rPr>
        <w:t>R</w:t>
      </w:r>
      <w:r>
        <w:rPr>
          <w:rFonts w:asciiTheme="majorHAnsi" w:hAnsiTheme="majorHAnsi"/>
          <w:sz w:val="30"/>
          <w:szCs w:val="30"/>
        </w:rPr>
        <w:t>eading</w:t>
      </w:r>
      <w:r w:rsidRPr="00E5417C">
        <w:rPr>
          <w:rFonts w:asciiTheme="majorHAnsi" w:hAnsiTheme="majorHAnsi"/>
          <w:sz w:val="30"/>
          <w:szCs w:val="30"/>
        </w:rPr>
        <w:t xml:space="preserve">  62</w:t>
      </w:r>
      <w:proofErr w:type="gramEnd"/>
      <w:r w:rsidRPr="00E5417C">
        <w:rPr>
          <w:rFonts w:asciiTheme="majorHAnsi" w:hAnsiTheme="majorHAnsi"/>
          <w:sz w:val="30"/>
          <w:szCs w:val="30"/>
        </w:rPr>
        <w:t>% W</w:t>
      </w:r>
      <w:r>
        <w:rPr>
          <w:rFonts w:asciiTheme="majorHAnsi" w:hAnsiTheme="majorHAnsi"/>
          <w:sz w:val="30"/>
          <w:szCs w:val="30"/>
        </w:rPr>
        <w:t>riting</w:t>
      </w:r>
      <w:r w:rsidRPr="00E5417C">
        <w:rPr>
          <w:rFonts w:asciiTheme="majorHAnsi" w:hAnsiTheme="majorHAnsi"/>
          <w:sz w:val="30"/>
          <w:szCs w:val="30"/>
        </w:rPr>
        <w:t xml:space="preserve"> 54% M</w:t>
      </w:r>
      <w:r>
        <w:rPr>
          <w:rFonts w:asciiTheme="majorHAnsi" w:hAnsiTheme="majorHAnsi"/>
          <w:sz w:val="30"/>
          <w:szCs w:val="30"/>
        </w:rPr>
        <w:t>aths</w:t>
      </w:r>
    </w:p>
    <w:p w:rsidR="00E5417C" w:rsidRPr="00E5417C" w:rsidRDefault="00E5417C" w:rsidP="00E5417C">
      <w:pPr>
        <w:rPr>
          <w:rFonts w:asciiTheme="majorHAnsi" w:hAnsiTheme="majorHAnsi"/>
          <w:sz w:val="30"/>
          <w:szCs w:val="30"/>
        </w:rPr>
      </w:pPr>
      <w:r w:rsidRPr="00E5417C">
        <w:rPr>
          <w:rFonts w:asciiTheme="majorHAnsi" w:hAnsiTheme="majorHAnsi"/>
          <w:sz w:val="30"/>
          <w:szCs w:val="30"/>
        </w:rPr>
        <w:t xml:space="preserve">Percentage of Children achieving level 6 </w:t>
      </w:r>
      <w:r w:rsidR="00D77708">
        <w:rPr>
          <w:rFonts w:asciiTheme="majorHAnsi" w:hAnsiTheme="majorHAnsi"/>
          <w:sz w:val="30"/>
          <w:szCs w:val="30"/>
        </w:rPr>
        <w:t xml:space="preserve">2015 </w:t>
      </w:r>
      <w:r w:rsidRPr="00E5417C">
        <w:rPr>
          <w:rFonts w:asciiTheme="majorHAnsi" w:hAnsiTheme="majorHAnsi"/>
          <w:sz w:val="30"/>
          <w:szCs w:val="30"/>
        </w:rPr>
        <w:t>(pupil premium): 7%</w:t>
      </w:r>
      <w:r>
        <w:rPr>
          <w:rFonts w:asciiTheme="majorHAnsi" w:hAnsiTheme="majorHAnsi"/>
          <w:sz w:val="30"/>
          <w:szCs w:val="30"/>
        </w:rPr>
        <w:t xml:space="preserve"> in Maths</w:t>
      </w:r>
    </w:p>
    <w:p w:rsidR="00AF2712" w:rsidRPr="0034522D" w:rsidRDefault="00AF2712" w:rsidP="00D77708">
      <w:pPr>
        <w:rPr>
          <w:rFonts w:ascii="Comic Sans MS" w:hAnsi="Comic Sans MS"/>
          <w:b/>
          <w:sz w:val="28"/>
          <w:szCs w:val="28"/>
          <w:u w:val="single"/>
        </w:rPr>
      </w:pPr>
    </w:p>
    <w:p w:rsidR="00AF2712" w:rsidRPr="00D77708" w:rsidRDefault="00AF2712" w:rsidP="00D77708">
      <w:pPr>
        <w:ind w:left="-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4522D">
        <w:rPr>
          <w:rFonts w:ascii="Comic Sans MS" w:hAnsi="Comic Sans MS"/>
          <w:b/>
          <w:sz w:val="28"/>
          <w:szCs w:val="28"/>
          <w:u w:val="single"/>
        </w:rPr>
        <w:t xml:space="preserve">Year 2 – </w:t>
      </w:r>
      <w:r>
        <w:rPr>
          <w:rFonts w:ascii="Comic Sans MS" w:hAnsi="Comic Sans MS"/>
          <w:b/>
          <w:sz w:val="28"/>
          <w:szCs w:val="28"/>
          <w:u w:val="single"/>
        </w:rPr>
        <w:t xml:space="preserve">Pupil Premium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4"/>
        <w:gridCol w:w="7132"/>
      </w:tblGrid>
      <w:tr w:rsidR="00AF2712" w:rsidRPr="0034522D" w:rsidTr="00AF2712">
        <w:tc>
          <w:tcPr>
            <w:tcW w:w="7848" w:type="dxa"/>
            <w:shd w:val="clear" w:color="auto" w:fill="CCFF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C320D">
              <w:rPr>
                <w:rFonts w:ascii="Comic Sans MS" w:hAnsi="Comic Sans MS"/>
                <w:b/>
                <w:u w:val="single"/>
              </w:rPr>
              <w:t>School APS</w:t>
            </w:r>
          </w:p>
        </w:tc>
        <w:tc>
          <w:tcPr>
            <w:tcW w:w="7920" w:type="dxa"/>
            <w:shd w:val="clear" w:color="auto" w:fill="CCFF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National APS - 2015</w:t>
            </w:r>
          </w:p>
        </w:tc>
      </w:tr>
      <w:tr w:rsidR="00AF2712" w:rsidRPr="0034522D" w:rsidTr="00AF2712">
        <w:tc>
          <w:tcPr>
            <w:tcW w:w="15768" w:type="dxa"/>
            <w:gridSpan w:val="2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 w:rsidRPr="00EC320D">
              <w:rPr>
                <w:rFonts w:ascii="Comic Sans MS" w:hAnsi="Comic Sans MS"/>
                <w:b/>
              </w:rPr>
              <w:t xml:space="preserve">Overall </w:t>
            </w:r>
          </w:p>
        </w:tc>
      </w:tr>
      <w:tr w:rsidR="00AF2712" w:rsidRPr="0034522D" w:rsidTr="00AF2712">
        <w:tc>
          <w:tcPr>
            <w:tcW w:w="7848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15.6</w:t>
            </w:r>
          </w:p>
        </w:tc>
        <w:tc>
          <w:tcPr>
            <w:tcW w:w="7920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16.6</w:t>
            </w:r>
          </w:p>
        </w:tc>
      </w:tr>
      <w:tr w:rsidR="00AF2712" w:rsidRPr="0034522D" w:rsidTr="00AF2712">
        <w:tc>
          <w:tcPr>
            <w:tcW w:w="15768" w:type="dxa"/>
            <w:gridSpan w:val="2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 w:rsidRPr="00EC320D">
              <w:rPr>
                <w:rFonts w:ascii="Comic Sans MS" w:hAnsi="Comic Sans MS"/>
                <w:b/>
              </w:rPr>
              <w:t xml:space="preserve">Reading </w:t>
            </w:r>
          </w:p>
        </w:tc>
      </w:tr>
      <w:tr w:rsidR="00AF2712" w:rsidRPr="0034522D" w:rsidTr="00AF2712">
        <w:tc>
          <w:tcPr>
            <w:tcW w:w="7848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16.7</w:t>
            </w:r>
          </w:p>
        </w:tc>
        <w:tc>
          <w:tcPr>
            <w:tcW w:w="7920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17.1</w:t>
            </w:r>
          </w:p>
        </w:tc>
      </w:tr>
      <w:tr w:rsidR="00AF2712" w:rsidRPr="0034522D" w:rsidTr="00AF2712">
        <w:tc>
          <w:tcPr>
            <w:tcW w:w="15768" w:type="dxa"/>
            <w:gridSpan w:val="2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 w:rsidRPr="00EC320D">
              <w:rPr>
                <w:rFonts w:ascii="Comic Sans MS" w:hAnsi="Comic Sans MS"/>
                <w:b/>
              </w:rPr>
              <w:t xml:space="preserve">Writing </w:t>
            </w:r>
          </w:p>
        </w:tc>
      </w:tr>
      <w:tr w:rsidR="00AF2712" w:rsidRPr="0034522D" w:rsidTr="00AF2712">
        <w:tc>
          <w:tcPr>
            <w:tcW w:w="7848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14.2</w:t>
            </w:r>
          </w:p>
        </w:tc>
        <w:tc>
          <w:tcPr>
            <w:tcW w:w="7920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15.8</w:t>
            </w:r>
          </w:p>
        </w:tc>
      </w:tr>
      <w:tr w:rsidR="00AF2712" w:rsidRPr="0034522D" w:rsidTr="00AF2712">
        <w:tc>
          <w:tcPr>
            <w:tcW w:w="15768" w:type="dxa"/>
            <w:gridSpan w:val="2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 w:rsidRPr="00EC320D">
              <w:rPr>
                <w:rFonts w:ascii="Comic Sans MS" w:hAnsi="Comic Sans MS"/>
                <w:b/>
              </w:rPr>
              <w:t xml:space="preserve">Maths </w:t>
            </w:r>
          </w:p>
        </w:tc>
      </w:tr>
      <w:tr w:rsidR="00AF2712" w:rsidRPr="0034522D" w:rsidTr="00AF2712">
        <w:trPr>
          <w:trHeight w:val="70"/>
        </w:trPr>
        <w:tc>
          <w:tcPr>
            <w:tcW w:w="7848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16.1</w:t>
            </w:r>
          </w:p>
        </w:tc>
        <w:tc>
          <w:tcPr>
            <w:tcW w:w="7920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16.9</w:t>
            </w:r>
          </w:p>
        </w:tc>
      </w:tr>
    </w:tbl>
    <w:p w:rsidR="00AF2712" w:rsidRPr="0034522D" w:rsidRDefault="00AF2712" w:rsidP="00AF2712">
      <w:pPr>
        <w:ind w:left="-360"/>
        <w:jc w:val="center"/>
        <w:rPr>
          <w:rFonts w:ascii="Comic Sans MS" w:hAnsi="Comic Sans MS"/>
          <w:b/>
          <w:u w:val="single"/>
        </w:rPr>
      </w:pPr>
    </w:p>
    <w:p w:rsidR="00AF2712" w:rsidRPr="0034522D" w:rsidRDefault="00AF2712" w:rsidP="00AF2712">
      <w:pPr>
        <w:ind w:left="-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4522D">
        <w:rPr>
          <w:rFonts w:ascii="Comic Sans MS" w:hAnsi="Comic Sans MS"/>
          <w:b/>
          <w:sz w:val="28"/>
          <w:szCs w:val="28"/>
          <w:u w:val="single"/>
        </w:rPr>
        <w:t xml:space="preserve">Year 6 – </w:t>
      </w:r>
      <w:r>
        <w:rPr>
          <w:rFonts w:ascii="Comic Sans MS" w:hAnsi="Comic Sans MS"/>
          <w:b/>
          <w:sz w:val="28"/>
          <w:szCs w:val="28"/>
          <w:u w:val="single"/>
        </w:rPr>
        <w:t xml:space="preserve">Pupil Premium </w:t>
      </w:r>
    </w:p>
    <w:p w:rsidR="00AF2712" w:rsidRPr="0034522D" w:rsidRDefault="00AF2712" w:rsidP="00AF2712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4"/>
        <w:gridCol w:w="7132"/>
      </w:tblGrid>
      <w:tr w:rsidR="00AF2712" w:rsidRPr="0034522D" w:rsidTr="00AF2712">
        <w:tc>
          <w:tcPr>
            <w:tcW w:w="7848" w:type="dxa"/>
            <w:shd w:val="clear" w:color="auto" w:fill="CCFF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 w:rsidRPr="00EC320D">
              <w:rPr>
                <w:rFonts w:ascii="Comic Sans MS" w:hAnsi="Comic Sans MS"/>
                <w:b/>
              </w:rPr>
              <w:t>School APS</w:t>
            </w:r>
          </w:p>
        </w:tc>
        <w:tc>
          <w:tcPr>
            <w:tcW w:w="7920" w:type="dxa"/>
            <w:shd w:val="clear" w:color="auto" w:fill="CCFF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National APS - 201</w:t>
            </w:r>
            <w:r w:rsidR="00FE6BFE">
              <w:rPr>
                <w:rFonts w:ascii="Comic Sans MS" w:hAnsi="Comic Sans MS"/>
                <w:b/>
              </w:rPr>
              <w:t>5</w:t>
            </w:r>
          </w:p>
        </w:tc>
      </w:tr>
      <w:tr w:rsidR="00AF2712" w:rsidRPr="0034522D" w:rsidTr="00AF2712">
        <w:tc>
          <w:tcPr>
            <w:tcW w:w="15768" w:type="dxa"/>
            <w:gridSpan w:val="2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 w:rsidRPr="00EC320D">
              <w:rPr>
                <w:rFonts w:ascii="Comic Sans MS" w:hAnsi="Comic Sans MS"/>
                <w:b/>
              </w:rPr>
              <w:t xml:space="preserve">Overall </w:t>
            </w:r>
          </w:p>
        </w:tc>
      </w:tr>
      <w:tr w:rsidR="00AF2712" w:rsidRPr="0034522D" w:rsidTr="00AF2712">
        <w:tc>
          <w:tcPr>
            <w:tcW w:w="7848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26.0</w:t>
            </w:r>
          </w:p>
        </w:tc>
        <w:tc>
          <w:tcPr>
            <w:tcW w:w="7920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29.5</w:t>
            </w:r>
          </w:p>
        </w:tc>
      </w:tr>
      <w:tr w:rsidR="00AF2712" w:rsidRPr="0034522D" w:rsidTr="00AF2712">
        <w:tc>
          <w:tcPr>
            <w:tcW w:w="15768" w:type="dxa"/>
            <w:gridSpan w:val="2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 w:rsidRPr="00EC320D">
              <w:rPr>
                <w:rFonts w:ascii="Comic Sans MS" w:hAnsi="Comic Sans MS"/>
                <w:b/>
              </w:rPr>
              <w:t>English, Punctuation and Spelling</w:t>
            </w:r>
          </w:p>
        </w:tc>
      </w:tr>
      <w:tr w:rsidR="00AF2712" w:rsidRPr="0034522D" w:rsidTr="00AF2712">
        <w:tc>
          <w:tcPr>
            <w:tcW w:w="7848" w:type="dxa"/>
            <w:shd w:val="clear" w:color="auto" w:fill="CC99FF"/>
          </w:tcPr>
          <w:p w:rsidR="00AF2712" w:rsidRPr="00EC320D" w:rsidRDefault="00FE6BFE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25.6</w:t>
            </w:r>
          </w:p>
        </w:tc>
        <w:tc>
          <w:tcPr>
            <w:tcW w:w="7920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</w:t>
            </w:r>
            <w:r w:rsidR="00FE6BFE">
              <w:rPr>
                <w:rFonts w:ascii="Comic Sans MS" w:hAnsi="Comic Sans MS"/>
                <w:b/>
              </w:rPr>
              <w:t>9</w:t>
            </w:r>
          </w:p>
        </w:tc>
      </w:tr>
      <w:tr w:rsidR="00AF2712" w:rsidRPr="0034522D" w:rsidTr="00AF2712">
        <w:tc>
          <w:tcPr>
            <w:tcW w:w="15768" w:type="dxa"/>
            <w:gridSpan w:val="2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 w:rsidRPr="00EC320D">
              <w:rPr>
                <w:rFonts w:ascii="Comic Sans MS" w:hAnsi="Comic Sans MS"/>
                <w:b/>
              </w:rPr>
              <w:t xml:space="preserve">Reading </w:t>
            </w:r>
          </w:p>
        </w:tc>
      </w:tr>
      <w:tr w:rsidR="00AF2712" w:rsidRPr="0034522D" w:rsidTr="00AF2712">
        <w:tc>
          <w:tcPr>
            <w:tcW w:w="7848" w:type="dxa"/>
            <w:shd w:val="clear" w:color="auto" w:fill="CC99FF"/>
          </w:tcPr>
          <w:p w:rsidR="00AF2712" w:rsidRPr="00EC320D" w:rsidRDefault="00FE6BFE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26.5</w:t>
            </w:r>
          </w:p>
        </w:tc>
        <w:tc>
          <w:tcPr>
            <w:tcW w:w="7920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</w:t>
            </w:r>
            <w:r w:rsidR="00FE6BFE">
              <w:rPr>
                <w:rFonts w:ascii="Comic Sans MS" w:hAnsi="Comic Sans MS"/>
                <w:b/>
              </w:rPr>
              <w:t>6</w:t>
            </w:r>
          </w:p>
        </w:tc>
      </w:tr>
      <w:tr w:rsidR="00AF2712" w:rsidRPr="0034522D" w:rsidTr="00AF2712">
        <w:tc>
          <w:tcPr>
            <w:tcW w:w="15768" w:type="dxa"/>
            <w:gridSpan w:val="2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 w:rsidRPr="00EC320D">
              <w:rPr>
                <w:rFonts w:ascii="Comic Sans MS" w:hAnsi="Comic Sans MS"/>
                <w:b/>
              </w:rPr>
              <w:t xml:space="preserve">Writing </w:t>
            </w:r>
          </w:p>
        </w:tc>
      </w:tr>
      <w:tr w:rsidR="00AF2712" w:rsidRPr="0034522D" w:rsidTr="00AF2712">
        <w:tc>
          <w:tcPr>
            <w:tcW w:w="7848" w:type="dxa"/>
            <w:shd w:val="clear" w:color="auto" w:fill="CC99FF"/>
          </w:tcPr>
          <w:p w:rsidR="00AF2712" w:rsidRPr="00EC320D" w:rsidRDefault="00FE6BFE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27.0</w:t>
            </w:r>
          </w:p>
        </w:tc>
        <w:tc>
          <w:tcPr>
            <w:tcW w:w="7920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28.</w:t>
            </w:r>
            <w:r w:rsidR="00FE6BFE">
              <w:rPr>
                <w:rFonts w:ascii="Comic Sans MS" w:hAnsi="Comic Sans MS"/>
                <w:b/>
              </w:rPr>
              <w:t>9</w:t>
            </w:r>
          </w:p>
        </w:tc>
      </w:tr>
      <w:tr w:rsidR="00AF2712" w:rsidRPr="0034522D" w:rsidTr="00AF2712">
        <w:tc>
          <w:tcPr>
            <w:tcW w:w="15768" w:type="dxa"/>
            <w:gridSpan w:val="2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 w:rsidRPr="00EC320D">
              <w:rPr>
                <w:rFonts w:ascii="Comic Sans MS" w:hAnsi="Comic Sans MS"/>
                <w:b/>
              </w:rPr>
              <w:t xml:space="preserve">Maths </w:t>
            </w:r>
          </w:p>
        </w:tc>
      </w:tr>
      <w:tr w:rsidR="00AF2712" w:rsidRPr="0034522D" w:rsidTr="00AF2712">
        <w:tc>
          <w:tcPr>
            <w:tcW w:w="7848" w:type="dxa"/>
            <w:shd w:val="clear" w:color="auto" w:fill="CC99FF"/>
          </w:tcPr>
          <w:p w:rsidR="00AF2712" w:rsidRPr="00EC320D" w:rsidRDefault="00FE6BFE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25.2</w:t>
            </w:r>
          </w:p>
        </w:tc>
        <w:tc>
          <w:tcPr>
            <w:tcW w:w="7920" w:type="dxa"/>
            <w:shd w:val="clear" w:color="auto" w:fill="CC99FF"/>
          </w:tcPr>
          <w:p w:rsidR="00AF2712" w:rsidRPr="00EC320D" w:rsidRDefault="00AF2712" w:rsidP="00AF2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29.8</w:t>
            </w:r>
          </w:p>
        </w:tc>
      </w:tr>
    </w:tbl>
    <w:p w:rsidR="00AF2712" w:rsidRDefault="00AF2712" w:rsidP="00AF2712">
      <w:pPr>
        <w:jc w:val="both"/>
        <w:rPr>
          <w:rFonts w:ascii="Century Gothic" w:hAnsi="Century Gothic"/>
          <w:sz w:val="21"/>
          <w:szCs w:val="21"/>
        </w:rPr>
      </w:pPr>
    </w:p>
    <w:p w:rsidR="00A05F04" w:rsidRPr="00A05F04" w:rsidRDefault="00A05F04" w:rsidP="00A05F04">
      <w:pPr>
        <w:rPr>
          <w:rFonts w:asciiTheme="majorHAnsi" w:hAnsiTheme="majorHAnsi"/>
          <w:sz w:val="30"/>
          <w:szCs w:val="30"/>
        </w:rPr>
      </w:pPr>
      <w:r w:rsidRPr="00A05F04">
        <w:rPr>
          <w:rFonts w:asciiTheme="majorHAnsi" w:hAnsiTheme="majorHAnsi"/>
          <w:sz w:val="30"/>
          <w:szCs w:val="30"/>
        </w:rPr>
        <w:t xml:space="preserve">The data above shows that the gap between PP pupils and their peers </w:t>
      </w:r>
      <w:r w:rsidR="00C12E9F">
        <w:rPr>
          <w:rFonts w:asciiTheme="majorHAnsi" w:hAnsiTheme="majorHAnsi"/>
          <w:sz w:val="30"/>
          <w:szCs w:val="30"/>
        </w:rPr>
        <w:t xml:space="preserve">while has narrowed during this year </w:t>
      </w:r>
      <w:r w:rsidRPr="00A05F04">
        <w:rPr>
          <w:rFonts w:asciiTheme="majorHAnsi" w:hAnsiTheme="majorHAnsi"/>
          <w:sz w:val="30"/>
          <w:szCs w:val="30"/>
        </w:rPr>
        <w:t xml:space="preserve">still remains a focus for the school in the majority of year groups for reading, writing, SPAG and Maths in 2015-16. </w:t>
      </w:r>
    </w:p>
    <w:p w:rsidR="00A05F04" w:rsidRDefault="00A05F04" w:rsidP="00AF2712">
      <w:pPr>
        <w:jc w:val="both"/>
        <w:rPr>
          <w:rFonts w:ascii="Century Gothic" w:hAnsi="Century Gothic"/>
          <w:sz w:val="21"/>
          <w:szCs w:val="21"/>
        </w:rPr>
      </w:pPr>
    </w:p>
    <w:p w:rsidR="00D77708" w:rsidRPr="00E5417C" w:rsidRDefault="00D77708" w:rsidP="00E5417C">
      <w:pPr>
        <w:rPr>
          <w:rFonts w:asciiTheme="majorHAnsi" w:hAnsiTheme="majorHAnsi"/>
          <w:sz w:val="30"/>
          <w:szCs w:val="30"/>
        </w:rPr>
      </w:pPr>
    </w:p>
    <w:p w:rsidR="00D77708" w:rsidRPr="00C12E9F" w:rsidRDefault="00E5417C" w:rsidP="00C12E9F">
      <w:pPr>
        <w:jc w:val="center"/>
        <w:rPr>
          <w:rFonts w:asciiTheme="majorHAnsi" w:hAnsiTheme="majorHAnsi"/>
          <w:sz w:val="30"/>
          <w:szCs w:val="30"/>
          <w:u w:val="single"/>
        </w:rPr>
      </w:pPr>
      <w:r w:rsidRPr="00D77708">
        <w:rPr>
          <w:rFonts w:asciiTheme="majorHAnsi" w:hAnsiTheme="majorHAnsi"/>
          <w:b/>
          <w:sz w:val="30"/>
          <w:szCs w:val="30"/>
          <w:u w:val="single"/>
        </w:rPr>
        <w:t xml:space="preserve">Pupil Premium </w:t>
      </w:r>
      <w:proofErr w:type="spellStart"/>
      <w:r w:rsidRPr="00D77708">
        <w:rPr>
          <w:rFonts w:asciiTheme="majorHAnsi" w:hAnsiTheme="majorHAnsi"/>
          <w:b/>
          <w:sz w:val="30"/>
          <w:szCs w:val="30"/>
          <w:u w:val="single"/>
        </w:rPr>
        <w:t>Attendanc</w:t>
      </w:r>
      <w:proofErr w:type="spellEnd"/>
    </w:p>
    <w:p w:rsidR="00D77708" w:rsidRDefault="00D77708" w:rsidP="00E5417C">
      <w:pPr>
        <w:rPr>
          <w:rFonts w:asciiTheme="majorHAnsi" w:hAnsiTheme="majorHAnsi"/>
          <w:sz w:val="30"/>
          <w:szCs w:val="30"/>
        </w:rPr>
      </w:pPr>
    </w:p>
    <w:p w:rsidR="00E5417C" w:rsidRPr="00E5417C" w:rsidRDefault="00A05F04" w:rsidP="00E5417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Pupil Premium attendance </w:t>
      </w:r>
      <w:r w:rsidR="00E5417C" w:rsidRPr="00E5417C">
        <w:rPr>
          <w:rFonts w:asciiTheme="majorHAnsi" w:hAnsiTheme="majorHAnsi"/>
          <w:sz w:val="30"/>
          <w:szCs w:val="30"/>
        </w:rPr>
        <w:t>totals 2014-15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417C" w:rsidRPr="00E5417C" w:rsidTr="00DB0C4F">
        <w:tc>
          <w:tcPr>
            <w:tcW w:w="3080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 xml:space="preserve">Class 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Whole class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PP</w:t>
            </w:r>
          </w:p>
        </w:tc>
      </w:tr>
      <w:tr w:rsidR="00E5417C" w:rsidRPr="00E5417C" w:rsidTr="00DB0C4F">
        <w:tc>
          <w:tcPr>
            <w:tcW w:w="3080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R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94%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92%</w:t>
            </w:r>
          </w:p>
        </w:tc>
      </w:tr>
      <w:tr w:rsidR="00E5417C" w:rsidRPr="00E5417C" w:rsidTr="00DB0C4F">
        <w:tc>
          <w:tcPr>
            <w:tcW w:w="3080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1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96%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96%</w:t>
            </w:r>
          </w:p>
        </w:tc>
      </w:tr>
      <w:tr w:rsidR="00E5417C" w:rsidRPr="00E5417C" w:rsidTr="00DB0C4F">
        <w:tc>
          <w:tcPr>
            <w:tcW w:w="3080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2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95%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91%</w:t>
            </w:r>
          </w:p>
        </w:tc>
      </w:tr>
      <w:tr w:rsidR="00E5417C" w:rsidRPr="00E5417C" w:rsidTr="00DB0C4F">
        <w:tc>
          <w:tcPr>
            <w:tcW w:w="3080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3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90%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97%</w:t>
            </w:r>
          </w:p>
        </w:tc>
      </w:tr>
      <w:tr w:rsidR="00E5417C" w:rsidRPr="00E5417C" w:rsidTr="00DB0C4F">
        <w:tc>
          <w:tcPr>
            <w:tcW w:w="3080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4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91%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95%</w:t>
            </w:r>
          </w:p>
        </w:tc>
      </w:tr>
      <w:tr w:rsidR="00E5417C" w:rsidRPr="00E5417C" w:rsidTr="00DB0C4F">
        <w:tc>
          <w:tcPr>
            <w:tcW w:w="3080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5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97%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97%</w:t>
            </w:r>
          </w:p>
        </w:tc>
      </w:tr>
      <w:tr w:rsidR="00E5417C" w:rsidRPr="00E5417C" w:rsidTr="00DB0C4F">
        <w:tc>
          <w:tcPr>
            <w:tcW w:w="3080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6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95%</w:t>
            </w:r>
          </w:p>
        </w:tc>
        <w:tc>
          <w:tcPr>
            <w:tcW w:w="3081" w:type="dxa"/>
          </w:tcPr>
          <w:p w:rsidR="00E5417C" w:rsidRPr="00E5417C" w:rsidRDefault="00E5417C" w:rsidP="00DB0C4F">
            <w:pPr>
              <w:rPr>
                <w:rFonts w:asciiTheme="majorHAnsi" w:hAnsiTheme="majorHAnsi"/>
                <w:sz w:val="30"/>
                <w:szCs w:val="30"/>
              </w:rPr>
            </w:pPr>
            <w:r w:rsidRPr="00E5417C">
              <w:rPr>
                <w:rFonts w:asciiTheme="majorHAnsi" w:hAnsiTheme="majorHAnsi"/>
                <w:sz w:val="30"/>
                <w:szCs w:val="30"/>
              </w:rPr>
              <w:t>95%</w:t>
            </w:r>
          </w:p>
        </w:tc>
      </w:tr>
    </w:tbl>
    <w:p w:rsidR="00E5417C" w:rsidRPr="00E5417C" w:rsidRDefault="00E5417C" w:rsidP="00E5417C">
      <w:pPr>
        <w:rPr>
          <w:rFonts w:asciiTheme="majorHAnsi" w:hAnsiTheme="majorHAnsi"/>
          <w:sz w:val="30"/>
          <w:szCs w:val="30"/>
        </w:rPr>
      </w:pPr>
    </w:p>
    <w:p w:rsidR="00E5417C" w:rsidRPr="00E5417C" w:rsidRDefault="00E5417C" w:rsidP="00E5417C">
      <w:pPr>
        <w:rPr>
          <w:rFonts w:asciiTheme="majorHAnsi" w:hAnsiTheme="majorHAnsi"/>
          <w:sz w:val="30"/>
          <w:szCs w:val="30"/>
        </w:rPr>
      </w:pPr>
      <w:r w:rsidRPr="00E5417C">
        <w:rPr>
          <w:rFonts w:asciiTheme="majorHAnsi" w:hAnsiTheme="majorHAnsi"/>
          <w:sz w:val="30"/>
          <w:szCs w:val="30"/>
        </w:rPr>
        <w:t xml:space="preserve">Whilst there are year groups with lower than 95% attendance there doesn’t appear to be any link or pattern between PP pupils and their peers. Where percentages are lower it is often one or two very low </w:t>
      </w:r>
      <w:proofErr w:type="gramStart"/>
      <w:r w:rsidRPr="00E5417C">
        <w:rPr>
          <w:rFonts w:asciiTheme="majorHAnsi" w:hAnsiTheme="majorHAnsi"/>
          <w:sz w:val="30"/>
          <w:szCs w:val="30"/>
        </w:rPr>
        <w:t>attendees  that</w:t>
      </w:r>
      <w:proofErr w:type="gramEnd"/>
      <w:r w:rsidRPr="00E5417C">
        <w:rPr>
          <w:rFonts w:asciiTheme="majorHAnsi" w:hAnsiTheme="majorHAnsi"/>
          <w:sz w:val="30"/>
          <w:szCs w:val="30"/>
        </w:rPr>
        <w:t xml:space="preserve"> influence the figures. This year has seen the introduction of the “Munch and Crunch” Morning reading sessions which </w:t>
      </w:r>
      <w:r w:rsidR="00DB0C4F">
        <w:rPr>
          <w:rFonts w:asciiTheme="majorHAnsi" w:hAnsiTheme="majorHAnsi"/>
          <w:sz w:val="30"/>
          <w:szCs w:val="30"/>
        </w:rPr>
        <w:t xml:space="preserve">helps promote punctuality and </w:t>
      </w:r>
      <w:proofErr w:type="gramStart"/>
      <w:r w:rsidRPr="00E5417C">
        <w:rPr>
          <w:rFonts w:asciiTheme="majorHAnsi" w:hAnsiTheme="majorHAnsi"/>
          <w:sz w:val="30"/>
          <w:szCs w:val="30"/>
        </w:rPr>
        <w:t>attendance .</w:t>
      </w:r>
      <w:proofErr w:type="gramEnd"/>
    </w:p>
    <w:p w:rsidR="00E5417C" w:rsidRPr="00E5417C" w:rsidRDefault="00E5417C" w:rsidP="00E5417C">
      <w:pPr>
        <w:rPr>
          <w:rFonts w:asciiTheme="majorHAnsi" w:hAnsiTheme="majorHAnsi"/>
          <w:sz w:val="30"/>
          <w:szCs w:val="30"/>
        </w:rPr>
      </w:pPr>
    </w:p>
    <w:p w:rsidR="00E5417C" w:rsidRPr="00E5417C" w:rsidRDefault="00A05F04" w:rsidP="00E5417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September 2015 we</w:t>
      </w:r>
      <w:r w:rsidR="00E5417C" w:rsidRPr="00E5417C">
        <w:rPr>
          <w:rFonts w:asciiTheme="majorHAnsi" w:hAnsiTheme="majorHAnsi"/>
          <w:sz w:val="30"/>
          <w:szCs w:val="30"/>
        </w:rPr>
        <w:t xml:space="preserve"> invested as a school in the </w:t>
      </w:r>
      <w:proofErr w:type="spellStart"/>
      <w:r w:rsidR="00E5417C" w:rsidRPr="00E5417C">
        <w:rPr>
          <w:rFonts w:asciiTheme="majorHAnsi" w:hAnsiTheme="majorHAnsi"/>
          <w:sz w:val="30"/>
          <w:szCs w:val="30"/>
        </w:rPr>
        <w:t>Spto</w:t>
      </w:r>
      <w:proofErr w:type="spellEnd"/>
      <w:r w:rsidR="00E5417C" w:rsidRPr="00E5417C">
        <w:rPr>
          <w:rFonts w:asciiTheme="majorHAnsi" w:hAnsiTheme="majorHAnsi"/>
          <w:sz w:val="30"/>
          <w:szCs w:val="30"/>
        </w:rPr>
        <w:t xml:space="preserve"> (School pupil tracker online). </w:t>
      </w:r>
      <w:proofErr w:type="spellStart"/>
      <w:r>
        <w:rPr>
          <w:rFonts w:asciiTheme="majorHAnsi" w:hAnsiTheme="majorHAnsi"/>
          <w:sz w:val="30"/>
          <w:szCs w:val="30"/>
        </w:rPr>
        <w:t>Ou</w:t>
      </w:r>
      <w:proofErr w:type="spellEnd"/>
      <w:r>
        <w:rPr>
          <w:rFonts w:asciiTheme="majorHAnsi" w:hAnsiTheme="majorHAnsi"/>
          <w:sz w:val="30"/>
          <w:szCs w:val="30"/>
        </w:rPr>
        <w:t xml:space="preserve"> </w:t>
      </w:r>
      <w:proofErr w:type="spellStart"/>
      <w:r>
        <w:rPr>
          <w:rFonts w:asciiTheme="majorHAnsi" w:hAnsiTheme="majorHAnsi"/>
          <w:sz w:val="30"/>
          <w:szCs w:val="30"/>
        </w:rPr>
        <w:t>rPP</w:t>
      </w:r>
      <w:proofErr w:type="spellEnd"/>
      <w:r>
        <w:rPr>
          <w:rFonts w:asciiTheme="majorHAnsi" w:hAnsiTheme="majorHAnsi"/>
          <w:sz w:val="30"/>
          <w:szCs w:val="30"/>
        </w:rPr>
        <w:t xml:space="preserve"> co-ordinator</w:t>
      </w:r>
      <w:r w:rsidR="00E5417C" w:rsidRPr="00E5417C">
        <w:rPr>
          <w:rFonts w:asciiTheme="majorHAnsi" w:hAnsiTheme="majorHAnsi"/>
          <w:sz w:val="30"/>
          <w:szCs w:val="30"/>
        </w:rPr>
        <w:t xml:space="preserve"> intend</w:t>
      </w:r>
      <w:r>
        <w:rPr>
          <w:rFonts w:asciiTheme="majorHAnsi" w:hAnsiTheme="majorHAnsi"/>
          <w:sz w:val="30"/>
          <w:szCs w:val="30"/>
        </w:rPr>
        <w:t>s</w:t>
      </w:r>
      <w:r w:rsidR="00E5417C" w:rsidRPr="00E5417C">
        <w:rPr>
          <w:rFonts w:asciiTheme="majorHAnsi" w:hAnsiTheme="majorHAnsi"/>
          <w:sz w:val="30"/>
          <w:szCs w:val="30"/>
        </w:rPr>
        <w:t xml:space="preserve"> to use this system to complete a more thorough data analysis- </w:t>
      </w:r>
      <w:proofErr w:type="spellStart"/>
      <w:r w:rsidR="00E5417C" w:rsidRPr="00E5417C">
        <w:rPr>
          <w:rFonts w:asciiTheme="majorHAnsi" w:hAnsiTheme="majorHAnsi"/>
          <w:sz w:val="30"/>
          <w:szCs w:val="30"/>
        </w:rPr>
        <w:t>eg</w:t>
      </w:r>
      <w:proofErr w:type="spellEnd"/>
      <w:r w:rsidR="00E5417C" w:rsidRPr="00E5417C">
        <w:rPr>
          <w:rFonts w:asciiTheme="majorHAnsi" w:hAnsiTheme="majorHAnsi"/>
          <w:sz w:val="30"/>
          <w:szCs w:val="30"/>
        </w:rPr>
        <w:t xml:space="preserve">: Track </w:t>
      </w:r>
      <w:proofErr w:type="gramStart"/>
      <w:r w:rsidR="00E5417C" w:rsidRPr="00E5417C">
        <w:rPr>
          <w:rFonts w:asciiTheme="majorHAnsi" w:hAnsiTheme="majorHAnsi"/>
          <w:sz w:val="30"/>
          <w:szCs w:val="30"/>
        </w:rPr>
        <w:t>trends,</w:t>
      </w:r>
      <w:proofErr w:type="gramEnd"/>
      <w:r w:rsidR="00E5417C" w:rsidRPr="00E5417C">
        <w:rPr>
          <w:rFonts w:asciiTheme="majorHAnsi" w:hAnsiTheme="majorHAnsi"/>
          <w:sz w:val="30"/>
          <w:szCs w:val="30"/>
        </w:rPr>
        <w:t xml:space="preserve"> identify boys/ girls/SEN/ summer bi</w:t>
      </w:r>
      <w:r>
        <w:rPr>
          <w:rFonts w:asciiTheme="majorHAnsi" w:hAnsiTheme="majorHAnsi"/>
          <w:sz w:val="30"/>
          <w:szCs w:val="30"/>
        </w:rPr>
        <w:t>rthdays etc. This will enable</w:t>
      </w:r>
      <w:r w:rsidR="00E5417C" w:rsidRPr="00E5417C">
        <w:rPr>
          <w:rFonts w:asciiTheme="majorHAnsi" w:hAnsiTheme="majorHAnsi"/>
          <w:sz w:val="30"/>
          <w:szCs w:val="30"/>
        </w:rPr>
        <w:t xml:space="preserve"> target</w:t>
      </w:r>
      <w:r>
        <w:rPr>
          <w:rFonts w:asciiTheme="majorHAnsi" w:hAnsiTheme="majorHAnsi"/>
          <w:sz w:val="30"/>
          <w:szCs w:val="30"/>
        </w:rPr>
        <w:t>ing of</w:t>
      </w:r>
      <w:r w:rsidR="00E5417C" w:rsidRPr="00E5417C">
        <w:rPr>
          <w:rFonts w:asciiTheme="majorHAnsi" w:hAnsiTheme="majorHAnsi"/>
          <w:sz w:val="30"/>
          <w:szCs w:val="30"/>
        </w:rPr>
        <w:t xml:space="preserve"> specific areas of need and identify patterns across the school.</w:t>
      </w:r>
    </w:p>
    <w:p w:rsidR="00C62996" w:rsidRDefault="00C62996">
      <w:pPr>
        <w:rPr>
          <w:rFonts w:asciiTheme="majorHAnsi" w:hAnsiTheme="majorHAnsi"/>
          <w:sz w:val="30"/>
          <w:szCs w:val="30"/>
        </w:rPr>
      </w:pPr>
    </w:p>
    <w:p w:rsidR="00C12E9F" w:rsidRPr="00E5417C" w:rsidRDefault="00C12E9F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Our projected spend for 2015-16 is shown in our action plan.</w:t>
      </w:r>
    </w:p>
    <w:sectPr w:rsidR="00C12E9F" w:rsidRPr="00E5417C" w:rsidSect="00D77708">
      <w:pgSz w:w="16840" w:h="1190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12"/>
    <w:rsid w:val="00171D4E"/>
    <w:rsid w:val="002B544A"/>
    <w:rsid w:val="00600BB6"/>
    <w:rsid w:val="009514BC"/>
    <w:rsid w:val="009652EB"/>
    <w:rsid w:val="00A05F04"/>
    <w:rsid w:val="00AF2712"/>
    <w:rsid w:val="00C12E9F"/>
    <w:rsid w:val="00C62996"/>
    <w:rsid w:val="00CA4D90"/>
    <w:rsid w:val="00D77708"/>
    <w:rsid w:val="00DB0C4F"/>
    <w:rsid w:val="00E5417C"/>
    <w:rsid w:val="00EF4E0C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1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4A"/>
    <w:rPr>
      <w:rFonts w:ascii="Lucida Grande" w:eastAsia="MS Mincho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E5417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1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4A"/>
    <w:rPr>
      <w:rFonts w:ascii="Lucida Grande" w:eastAsia="MS Mincho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E5417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507</Words>
  <Characters>2895</Characters>
  <Application>Microsoft Macintosh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2016-02-06T13:12:00Z</dcterms:created>
  <dcterms:modified xsi:type="dcterms:W3CDTF">2016-02-06T13:12:00Z</dcterms:modified>
</cp:coreProperties>
</file>